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FD1322">
        <w:rPr>
          <w:rFonts w:ascii="Times New Roman" w:eastAsia="Calibri" w:hAnsi="Times New Roman"/>
          <w:color w:val="000000"/>
          <w:sz w:val="28"/>
          <w:szCs w:val="28"/>
        </w:rPr>
        <w:t>Проект</w:t>
      </w:r>
    </w:p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FD1322">
        <w:rPr>
          <w:rFonts w:ascii="Times New Roman" w:eastAsia="Calibri" w:hAnsi="Times New Roman"/>
          <w:color w:val="000000"/>
          <w:sz w:val="28"/>
          <w:szCs w:val="28"/>
        </w:rPr>
        <w:t>ЗАКОН</w:t>
      </w:r>
    </w:p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FD1322">
        <w:rPr>
          <w:rFonts w:ascii="Times New Roman" w:eastAsia="Calibri" w:hAnsi="Times New Roman"/>
          <w:color w:val="000000"/>
          <w:sz w:val="28"/>
          <w:szCs w:val="28"/>
        </w:rPr>
        <w:t>Алтайского края</w:t>
      </w:r>
    </w:p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F80AD3" w:rsidRPr="00FD1322" w:rsidRDefault="00F80AD3" w:rsidP="00F80AD3">
      <w:pPr>
        <w:pStyle w:val="ConsPlusNormal"/>
        <w:ind w:right="-2"/>
        <w:jc w:val="center"/>
        <w:rPr>
          <w:rFonts w:eastAsia="Calibri"/>
          <w:b/>
          <w:color w:val="000000"/>
        </w:rPr>
      </w:pPr>
      <w:r w:rsidRPr="00FD1322">
        <w:rPr>
          <w:rFonts w:eastAsia="Calibri"/>
          <w:b/>
          <w:color w:val="000000"/>
        </w:rPr>
        <w:t xml:space="preserve">О внесении изменений в закон Алтайского края </w:t>
      </w:r>
    </w:p>
    <w:p w:rsidR="00F80AD3" w:rsidRPr="00FD1322" w:rsidRDefault="00F80AD3" w:rsidP="00F80AD3">
      <w:pPr>
        <w:pStyle w:val="ConsPlusNormal"/>
        <w:ind w:right="-2"/>
        <w:jc w:val="center"/>
        <w:rPr>
          <w:b/>
          <w:bCs/>
        </w:rPr>
      </w:pPr>
      <w:r w:rsidRPr="00FD1322">
        <w:rPr>
          <w:rFonts w:eastAsia="Calibri"/>
          <w:b/>
          <w:color w:val="000000"/>
        </w:rPr>
        <w:t>«</w:t>
      </w:r>
      <w:r w:rsidRPr="00FD1322">
        <w:rPr>
          <w:b/>
          <w:bCs/>
          <w:color w:val="000000"/>
        </w:rPr>
        <w:t xml:space="preserve">О </w:t>
      </w:r>
      <w:r w:rsidRPr="00FD1322">
        <w:rPr>
          <w:b/>
          <w:bCs/>
        </w:rPr>
        <w:t xml:space="preserve">порядке проведения собраний, митингов, демонстраций, </w:t>
      </w:r>
    </w:p>
    <w:p w:rsidR="00F80AD3" w:rsidRPr="00FD1322" w:rsidRDefault="00F80AD3" w:rsidP="00F80AD3">
      <w:pPr>
        <w:pStyle w:val="ConsPlusNormal"/>
        <w:ind w:right="-2"/>
        <w:jc w:val="center"/>
        <w:rPr>
          <w:b/>
          <w:bCs/>
        </w:rPr>
      </w:pPr>
      <w:proofErr w:type="gramStart"/>
      <w:r w:rsidRPr="00FD1322">
        <w:rPr>
          <w:b/>
          <w:bCs/>
        </w:rPr>
        <w:t>шествий</w:t>
      </w:r>
      <w:proofErr w:type="gramEnd"/>
      <w:r w:rsidRPr="00FD1322">
        <w:rPr>
          <w:b/>
          <w:bCs/>
        </w:rPr>
        <w:t xml:space="preserve"> и пикетирований на территории </w:t>
      </w:r>
      <w:r w:rsidRPr="00FD1322">
        <w:rPr>
          <w:b/>
          <w:bCs/>
          <w:color w:val="000000"/>
        </w:rPr>
        <w:t>Алтайского края»</w:t>
      </w:r>
    </w:p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FD1322">
        <w:rPr>
          <w:rFonts w:ascii="Times New Roman" w:eastAsia="Calibri" w:hAnsi="Times New Roman"/>
          <w:b/>
          <w:bCs/>
          <w:color w:val="000000"/>
          <w:sz w:val="28"/>
          <w:szCs w:val="28"/>
        </w:rPr>
        <w:t>Статья 1</w:t>
      </w:r>
    </w:p>
    <w:p w:rsidR="00F80AD3" w:rsidRPr="00FD1322" w:rsidRDefault="00F80AD3" w:rsidP="00F80AD3">
      <w:pPr>
        <w:pStyle w:val="ConsPlusNormal"/>
        <w:ind w:firstLine="709"/>
        <w:jc w:val="both"/>
      </w:pPr>
    </w:p>
    <w:p w:rsidR="00F80AD3" w:rsidRPr="00FD1322" w:rsidRDefault="00F80AD3" w:rsidP="00F80AD3">
      <w:pPr>
        <w:pStyle w:val="ConsPlusNormal"/>
        <w:ind w:firstLine="709"/>
        <w:jc w:val="both"/>
      </w:pPr>
      <w:r w:rsidRPr="00FD1322">
        <w:t>Внести в закон Алтайского края от 31 декабря</w:t>
      </w:r>
      <w:r w:rsidRPr="00FD1322">
        <w:br/>
        <w:t xml:space="preserve">2004 года № 76-ЗС «О </w:t>
      </w:r>
      <w:r w:rsidRPr="00FD1322">
        <w:rPr>
          <w:bCs/>
        </w:rPr>
        <w:t xml:space="preserve">порядке проведения собраний, митингов, демонстраций, шествий и пикетирований на территории </w:t>
      </w:r>
      <w:r w:rsidRPr="00FD1322">
        <w:rPr>
          <w:bCs/>
          <w:color w:val="000000"/>
        </w:rPr>
        <w:t>Алтайского края</w:t>
      </w:r>
      <w:r w:rsidRPr="00FD1322">
        <w:t xml:space="preserve">» (Сборник законодательства Алтайского края, 2004, № 104, часть II; 2007, </w:t>
      </w:r>
      <w:r w:rsidRPr="00FD1322">
        <w:br/>
        <w:t xml:space="preserve">№ 132, часть I; 2008, № 145; 2011, № 179, часть I, № 186, часть I; 2012, № 200, часть I; 2014, № 216, часть I; 2015, № 228; Официальный интернет-портал правовой информации (www.pravo.gov.ru), 11 июля 2016 года, 5 октября </w:t>
      </w:r>
      <w:r w:rsidRPr="00FD1322">
        <w:br/>
        <w:t>2017 года, 27 декабря 2018 года, 4 февраля 2020 года, 4 сентября 2020 года) следующие изменения:</w:t>
      </w:r>
    </w:p>
    <w:p w:rsidR="00F80AD3" w:rsidRPr="00FD1322" w:rsidRDefault="00F80AD3" w:rsidP="00F80AD3">
      <w:pPr>
        <w:pStyle w:val="ConsPlusNormal"/>
        <w:numPr>
          <w:ilvl w:val="0"/>
          <w:numId w:val="1"/>
        </w:numPr>
        <w:jc w:val="both"/>
      </w:pPr>
      <w:proofErr w:type="gramStart"/>
      <w:r w:rsidRPr="00FD1322">
        <w:t>в</w:t>
      </w:r>
      <w:proofErr w:type="gramEnd"/>
      <w:r w:rsidRPr="00FD1322">
        <w:t xml:space="preserve"> части 2 статьи 3-1:</w:t>
      </w:r>
    </w:p>
    <w:p w:rsidR="00F80AD3" w:rsidRPr="00FD1322" w:rsidRDefault="00F80AD3" w:rsidP="00F80A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1322">
        <w:rPr>
          <w:rFonts w:ascii="Times New Roman" w:hAnsi="Times New Roman"/>
          <w:sz w:val="28"/>
          <w:szCs w:val="28"/>
        </w:rPr>
        <w:t>а</w:t>
      </w:r>
      <w:proofErr w:type="gramEnd"/>
      <w:r w:rsidRPr="00FD1322">
        <w:rPr>
          <w:rFonts w:ascii="Times New Roman" w:hAnsi="Times New Roman"/>
          <w:sz w:val="28"/>
          <w:szCs w:val="28"/>
        </w:rPr>
        <w:t>) пункт 2 дополнить словами «, за исключением случаев проведения шествий и демонстраций»;</w:t>
      </w:r>
    </w:p>
    <w:p w:rsidR="00F80AD3" w:rsidRPr="00FD1322" w:rsidRDefault="00F80AD3" w:rsidP="00F80A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1322">
        <w:rPr>
          <w:rFonts w:ascii="Times New Roman" w:hAnsi="Times New Roman"/>
          <w:sz w:val="28"/>
          <w:szCs w:val="28"/>
        </w:rPr>
        <w:t>б</w:t>
      </w:r>
      <w:proofErr w:type="gramEnd"/>
      <w:r w:rsidRPr="00FD1322">
        <w:rPr>
          <w:rFonts w:ascii="Times New Roman" w:hAnsi="Times New Roman"/>
          <w:sz w:val="28"/>
          <w:szCs w:val="28"/>
        </w:rPr>
        <w:t>) в пункте 3 слова «и территории, располагающиеся ближе пятидесяти метров от них» исключить;</w:t>
      </w:r>
    </w:p>
    <w:p w:rsidR="00F80AD3" w:rsidRPr="00FD1322" w:rsidRDefault="00F80AD3" w:rsidP="00F80AD3">
      <w:pPr>
        <w:pStyle w:val="ConsPlusNormal"/>
        <w:tabs>
          <w:tab w:val="left" w:pos="993"/>
        </w:tabs>
        <w:ind w:left="709"/>
        <w:jc w:val="both"/>
      </w:pPr>
      <w:proofErr w:type="gramStart"/>
      <w:r w:rsidRPr="00FD1322">
        <w:t>в</w:t>
      </w:r>
      <w:proofErr w:type="gramEnd"/>
      <w:r w:rsidRPr="00FD1322">
        <w:t xml:space="preserve">) </w:t>
      </w:r>
      <w:r w:rsidR="00592BCA" w:rsidRPr="00FD1322">
        <w:t>пункт 6 признать утратившим</w:t>
      </w:r>
      <w:r w:rsidRPr="00FD1322">
        <w:t xml:space="preserve"> силу;</w:t>
      </w:r>
    </w:p>
    <w:p w:rsidR="00F80AD3" w:rsidRPr="00FD1322" w:rsidRDefault="00F80AD3" w:rsidP="00F80AD3">
      <w:pPr>
        <w:pStyle w:val="ConsPlusNormal"/>
        <w:tabs>
          <w:tab w:val="left" w:pos="993"/>
        </w:tabs>
        <w:ind w:left="709"/>
        <w:jc w:val="both"/>
      </w:pPr>
      <w:proofErr w:type="gramStart"/>
      <w:r w:rsidRPr="00FD1322">
        <w:t>г</w:t>
      </w:r>
      <w:proofErr w:type="gramEnd"/>
      <w:r w:rsidRPr="00FD1322">
        <w:t>) пу</w:t>
      </w:r>
      <w:r w:rsidR="00592BCA" w:rsidRPr="00FD1322">
        <w:t>нкт 7 признать утратившим</w:t>
      </w:r>
      <w:r w:rsidR="006B6AD5" w:rsidRPr="00FD1322">
        <w:t xml:space="preserve"> силу;</w:t>
      </w:r>
    </w:p>
    <w:p w:rsidR="006B6AD5" w:rsidRPr="00FD1322" w:rsidRDefault="006B6AD5" w:rsidP="006B6AD5">
      <w:pPr>
        <w:pStyle w:val="a5"/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74F9C" w:rsidRPr="00FD1322" w:rsidRDefault="00974F9C" w:rsidP="009A5F0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статье 4:</w:t>
      </w:r>
    </w:p>
    <w:p w:rsidR="0088658E" w:rsidRPr="00FD1322" w:rsidRDefault="00974F9C" w:rsidP="00974F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88658E"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6B6AD5" w:rsidRPr="00FD1322">
        <w:rPr>
          <w:rFonts w:ascii="Times New Roman" w:eastAsiaTheme="minorHAnsi" w:hAnsi="Times New Roman"/>
          <w:sz w:val="28"/>
          <w:szCs w:val="28"/>
          <w:lang w:eastAsia="en-US"/>
        </w:rPr>
        <w:t>част</w:t>
      </w:r>
      <w:r w:rsidR="0088658E" w:rsidRPr="00FD132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6B6AD5"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1</w:t>
      </w:r>
      <w:r w:rsidR="0088658E" w:rsidRPr="00FD1322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88658E" w:rsidRPr="00FD1322" w:rsidRDefault="00DF2EE1" w:rsidP="00886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proofErr w:type="gramEnd"/>
      <w:r w:rsidR="0088658E"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6 после слов «медицинской помощи» дополнить словами «и санитарного обслуживания»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A5F04" w:rsidRPr="00FD1322" w:rsidRDefault="006B6AD5" w:rsidP="00974F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дополнить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пунктом 8.1 следующего содержания:</w:t>
      </w:r>
    </w:p>
    <w:p w:rsidR="006B6AD5" w:rsidRPr="00FD1322" w:rsidRDefault="006B6AD5" w:rsidP="009A5F0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«8.1) реквизиты банковского счета организатора публичного мероприятия, используемого для сбора денежных средств на организацию и проведение публичного мероприятия, предполагаемое количество участников которого превышает 500 человек;»;</w:t>
      </w:r>
    </w:p>
    <w:p w:rsidR="005D1212" w:rsidRPr="00FD1322" w:rsidRDefault="00974F9C" w:rsidP="005D12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) часть 4 дополнить предложением следующего содержания: «При исчислении сроков подачи уведомления о проведении публичного мероприятия не учитыва</w:t>
      </w:r>
      <w:r w:rsidR="006A6923" w:rsidRPr="00FD1322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тся день получения такого уведомления </w:t>
      </w:r>
      <w:r w:rsidR="005D1212"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соответствующей 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администрацией</w:t>
      </w:r>
      <w:r w:rsidR="00592BCA" w:rsidRPr="00FD132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D1212" w:rsidRPr="00FD1322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A01C63" w:rsidRPr="00FD1322" w:rsidRDefault="00A01C63" w:rsidP="00A01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) часть 5 дополнить предложением следующего содержания: «При исчислении сроков подачи уведомления о проведении публичного мероприятия не учитыва</w:t>
      </w:r>
      <w:r w:rsidR="006A6923" w:rsidRPr="00FD1322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тся день получения такого уведомления </w:t>
      </w:r>
      <w:r w:rsidR="005D1212" w:rsidRPr="00FD1322">
        <w:rPr>
          <w:rFonts w:ascii="Times New Roman" w:eastAsiaTheme="minorHAnsi" w:hAnsi="Times New Roman"/>
          <w:sz w:val="28"/>
          <w:szCs w:val="28"/>
          <w:lang w:eastAsia="en-US"/>
        </w:rPr>
        <w:t>соответствующей администрацией</w:t>
      </w:r>
      <w:r w:rsidR="00592BCA" w:rsidRPr="00FD132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D1212" w:rsidRPr="00FD1322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01C63" w:rsidRPr="00FD1322" w:rsidRDefault="00A01C63" w:rsidP="00A01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г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) часть 6 дополнить предложением следующего содержания: «При исчислении сроков подачи уведомления о проведении публичного мероприятия не учитыва</w:t>
      </w:r>
      <w:r w:rsidR="006A6923" w:rsidRPr="00FD1322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тся день получения такого уведомления </w:t>
      </w:r>
      <w:r w:rsidR="005D1212" w:rsidRPr="00FD1322">
        <w:rPr>
          <w:rFonts w:ascii="Times New Roman" w:eastAsiaTheme="minorHAnsi" w:hAnsi="Times New Roman"/>
          <w:sz w:val="28"/>
          <w:szCs w:val="28"/>
          <w:lang w:eastAsia="en-US"/>
        </w:rPr>
        <w:t>соответствующей администрацией</w:t>
      </w:r>
      <w:r w:rsidR="00592BCA" w:rsidRPr="00FD132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D1212" w:rsidRPr="00FD1322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D1212" w:rsidRPr="00FD1322" w:rsidRDefault="005D1212" w:rsidP="00A01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D1212" w:rsidRPr="00FD1322" w:rsidRDefault="00EC37D8" w:rsidP="0019023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статье 8:</w:t>
      </w:r>
    </w:p>
    <w:p w:rsidR="00EC37D8" w:rsidRPr="00FD1322" w:rsidRDefault="00F445B4" w:rsidP="00F445B4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) часть 1</w:t>
      </w:r>
      <w:r w:rsidR="00EC37D8"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EC37D8" w:rsidRPr="00FD1322" w:rsidRDefault="00F445B4" w:rsidP="00F44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592BCA"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трех дней со дня приема и регистрации уведомления о проведении публичного мероприятия (а при подаче уведомления о проведении пикетирования группой лиц менее чем за пять дней до дня его проведения - в день его получения) соответствующая администрация обязана в письменной форме довести до сведения организатора публичного мероприятия </w:t>
      </w:r>
      <w:r w:rsidR="00EC37D8" w:rsidRPr="00FD1322">
        <w:rPr>
          <w:rFonts w:ascii="Times New Roman" w:eastAsiaTheme="minorHAnsi" w:hAnsi="Times New Roman"/>
          <w:sz w:val="28"/>
          <w:szCs w:val="28"/>
          <w:lang w:eastAsia="en-US"/>
        </w:rPr>
        <w:t>обоснованное предложение об изменении места и (или) времени проведения публичного мероприятия с указанием конкретных места и (или) времени, предлагаемых организатору публичного мероприятия для его проведения (а в случае получения уведомления о проведении публичного мероприятия, сочетающего различные его формы, также обоснованное предложение о выборе одной из форм проведения публичного мероприятия, заявляемых его организатором),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закона. В случае, если последний день указанного срока совпадает с воскресеньем или нерабочим праздничным днем</w:t>
      </w:r>
      <w:r w:rsidR="007241B5"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соответствующая администрация</w:t>
      </w:r>
      <w:r w:rsidR="00EC37D8"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вправе направить такие предложения организатору публичного мероприятия в первый рабочий день, следующий за воскресеньем или нерабочим праздничным днем, но не позднее чем за три дня до дня проведения публичного мероприятия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7241B5" w:rsidRPr="00FD1322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7241B5" w:rsidRPr="00FD1322" w:rsidRDefault="007241B5" w:rsidP="00EC37D8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) дополнить частями 1.1 – 1.</w:t>
      </w:r>
      <w:r w:rsidR="00F3098D" w:rsidRPr="00FD1322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следующего содержания: </w:t>
      </w:r>
    </w:p>
    <w:p w:rsidR="007241B5" w:rsidRPr="00FD1322" w:rsidRDefault="007241B5" w:rsidP="0072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«1.1. В случае подачи организатором публичного мероприятия уведомления о проведении публичного мероприятия, сочетающего различные формы его проведения, соответствующая администрация после получения такого уведомления вправе направить организатору публичного мероприятия обоснованное предложение об изменении места и (или) времени проведения публичного мероприятия либо о выборе одной из форм проведения публичного мероприятия, заявляемых его организатором.</w:t>
      </w:r>
    </w:p>
    <w:p w:rsidR="007241B5" w:rsidRPr="00FD1322" w:rsidRDefault="007241B5" w:rsidP="0072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1.2</w:t>
      </w:r>
      <w:r w:rsidR="00A54BEB" w:rsidRPr="00FD132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Предлагаемое соответствующей администрацией в соответствии с пунктом 1 части 1 настоящей статьи иное конкретное место проведения публичного мероприятия должно соответствовать необходимым условиям, позволяющим реализовать заявленные цели проведения публичного мероприятия.</w:t>
      </w:r>
    </w:p>
    <w:p w:rsidR="00A54BEB" w:rsidRPr="00FD1322" w:rsidRDefault="00A54BEB" w:rsidP="0072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1.3. В случае, если в соответствующую администрацию поступила информация от уполномоченных органов об отсутствии права у подавшего уведомление лица быть организатором публичного мероприятия в соответствии с Федеральным законом, соответствующая администрация отзывает согласование проведения публичного мероприятия либо предложение, 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указанное в пункте 1 части 1 настоящей статьи, направленные организатору публичного мероприятия.</w:t>
      </w:r>
    </w:p>
    <w:p w:rsidR="007241B5" w:rsidRPr="00FD1322" w:rsidRDefault="00F203CF" w:rsidP="0072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1.4. В случае, если организатором публичного мероприятия с момента согласования с соответствующей администрацией места и (или) времени проведения публичного мероприятия и до начала проведения публичного мероприятия публично (в средствах массовой информации, информационно-телекоммуникационной сети «Интернет» или иными способами, обеспечивающими доступ неопределенного круга лиц к информации) распространяется информация об изменении в одностороннем порядке целей, формы публичного мероприятия и (или) заявленного количества его участников, а также не выполняется обязанность, предусмотренная пунктом 2.1 части 4 статьи 5 Федерального закона, соответствующая администрация  вправе отозвать согласование проведения публичного мероприятия либо предложение, указанное в пункте 1 части 1 настоящей статьи, направленные организатору публичного мероприятия.</w:t>
      </w:r>
    </w:p>
    <w:p w:rsidR="00F3098D" w:rsidRPr="00FD1322" w:rsidRDefault="00F3098D" w:rsidP="0072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1.5. В случае, если в результате чрезвычайной ситуации, террористического акта либо при наличии реальной угрозы их возникновения (совершения) не может быть обеспечена безопасность участников публичного мероприятия при его проведении, соответствующ</w:t>
      </w:r>
      <w:r w:rsidR="00CE7616"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ая администрация 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незамедлительно обязан</w:t>
      </w:r>
      <w:r w:rsidR="00CE7616" w:rsidRPr="00FD132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предложить организатору публичного мероприятия изменить место и (или) время его проведения.</w:t>
      </w:r>
    </w:p>
    <w:p w:rsidR="00CE7616" w:rsidRPr="00FD1322" w:rsidRDefault="00CE7616" w:rsidP="0072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1.6. В случае, если указанные в части 1.5 настоящей статьи обстоятельства были выявлены в день, предшествующий дню проведения публичного мероприятия, или в день публичного мероприятия до его начала, соответствующая администрация незамедлительно обязана уведомить организатора публичного мероприятия о невозможности его проведения и предложить ему изменить дату, а при необходимости также место и (или) время проведения публичного мероприятия путем подачи нового уведомления.»;</w:t>
      </w:r>
    </w:p>
    <w:p w:rsidR="007241B5" w:rsidRPr="00FD1322" w:rsidRDefault="00CE7616" w:rsidP="00EC37D8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) часть 2 изложить в следующей редакции:</w:t>
      </w:r>
    </w:p>
    <w:p w:rsidR="007241B5" w:rsidRPr="00FD1322" w:rsidRDefault="00CE7616" w:rsidP="00CE7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«2. Организатор публичного мероприятия обязан не позднее чем за три дня до дня проведения публичного мероприятия (за исключением собрания и пикетирования, проводимого одним участником) информировать соответствующую администрацию в письменной форме о принятии </w:t>
      </w:r>
      <w:r w:rsidR="00F93D40" w:rsidRPr="00FD1322">
        <w:rPr>
          <w:rFonts w:ascii="Times New Roman" w:eastAsiaTheme="minorHAnsi" w:hAnsi="Times New Roman"/>
          <w:sz w:val="28"/>
          <w:szCs w:val="28"/>
          <w:lang w:eastAsia="en-US"/>
        </w:rPr>
        <w:t>ее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предложения об изменении места и (или) времени (а в случае, указанном в пункте 1 части 1 настоящей статьи, также о выборе одной из форм проведения публичного мероприятия, заявляемых его организатором) проведения публичного мероприятия, указанных в уведомлении о проведении публичного мероприятия, либо о неприятии предложения соответствующей администрации и об отказе от проведения публичного мероприятия в указанных в таком уведомлении месте, времени и форме</w:t>
      </w:r>
      <w:r w:rsidR="0017468C" w:rsidRPr="00FD1322">
        <w:rPr>
          <w:rFonts w:ascii="Times New Roman" w:eastAsiaTheme="minorHAnsi" w:hAnsi="Times New Roman"/>
          <w:sz w:val="28"/>
          <w:szCs w:val="28"/>
          <w:lang w:eastAsia="en-US"/>
        </w:rPr>
        <w:t>.»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17468C" w:rsidRPr="00FD1322" w:rsidRDefault="0017468C" w:rsidP="0017468C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bookmarkStart w:id="0" w:name="_GoBack"/>
      <w:bookmarkEnd w:id="0"/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) часть 3 изложить в следующей редакции:</w:t>
      </w:r>
    </w:p>
    <w:p w:rsidR="0017468C" w:rsidRPr="00FD1322" w:rsidRDefault="0017468C" w:rsidP="0017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«3. Организатор публичного мероприятия не вправе его проводить, если он не подал в срок уведомление о проведении публичного мероприятия либо не принял направленное ему соответствующей администрацией обоснованное предложение об изменении места и (или) времени (а в случае, указанном в 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пункте 1 части 1 настоящей статьи, также о выборе одной из форм проведения публичного мероприятия, заявляемых его организатором), и в случаях, предусмотренных частями </w:t>
      </w:r>
      <w:r w:rsidR="00592BCA" w:rsidRPr="00FD1322">
        <w:rPr>
          <w:rFonts w:ascii="Times New Roman" w:eastAsiaTheme="minorHAnsi" w:hAnsi="Times New Roman"/>
          <w:sz w:val="28"/>
          <w:szCs w:val="28"/>
          <w:lang w:eastAsia="en-US"/>
        </w:rPr>
        <w:t>1.3 – 1.6 настоящей статьи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.»;</w:t>
      </w:r>
    </w:p>
    <w:p w:rsidR="009A5F04" w:rsidRPr="00FD1322" w:rsidRDefault="009A5F04" w:rsidP="00CE7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F2EE1" w:rsidRPr="00FD1322" w:rsidRDefault="00DF2EE1" w:rsidP="00DF2EE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статье 11-2:</w:t>
      </w:r>
    </w:p>
    <w:p w:rsidR="0035722E" w:rsidRPr="00FD1322" w:rsidRDefault="00DF2EE1" w:rsidP="00DF2EE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35722E" w:rsidRPr="00FD1322">
        <w:rPr>
          <w:rFonts w:ascii="Times New Roman" w:eastAsiaTheme="minorHAnsi" w:hAnsi="Times New Roman"/>
          <w:sz w:val="28"/>
          <w:szCs w:val="28"/>
          <w:lang w:eastAsia="en-US"/>
        </w:rPr>
        <w:t>часть 2 изложить в следующей редакции:</w:t>
      </w:r>
    </w:p>
    <w:p w:rsidR="00DF2EE1" w:rsidRPr="00FD1322" w:rsidRDefault="0035722E" w:rsidP="003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«2. Совокупность актов пикетирования, осуществляемого одним участником, объединенных единым замыслом и общей организацией, в том числе участие нескольких лиц в таких актах пикетирования поочередно, может быть признана решением суда по конкретному гражданскому, административному или уголовному делу одним публичным мероприятием.</w:t>
      </w:r>
      <w:r w:rsidR="00DF2EE1" w:rsidRPr="00FD1322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A355E8" w:rsidRPr="00FD1322" w:rsidRDefault="00DF2EE1" w:rsidP="003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A355E8"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дополнить частью 3 следующего содержания:</w:t>
      </w:r>
    </w:p>
    <w:p w:rsidR="0035722E" w:rsidRPr="00FD1322" w:rsidRDefault="00A355E8" w:rsidP="00357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«3.</w:t>
      </w:r>
      <w:r w:rsidR="0035722E"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Решением суда по конкретному гражданскому, административному или уголовному делу публичным мероприятием может быть признано объединенное единым замыслом и (или) общей организацией массовое одновременное пребывание и (или) передвижение граждан в общественных местах, направленные на выражение и формирование мнений, выдвижение требований по различным вопросам политической, экономической, социальной и культурной жизни страны и вопросам внешней политики.»;</w:t>
      </w:r>
    </w:p>
    <w:p w:rsidR="0035722E" w:rsidRPr="00FD1322" w:rsidRDefault="0035722E" w:rsidP="009A5F0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15DAF" w:rsidRPr="00FD1322" w:rsidRDefault="009A5F04" w:rsidP="00F15DA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>статью</w:t>
      </w:r>
      <w:proofErr w:type="gramEnd"/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1</w:t>
      </w:r>
      <w:r w:rsidR="00381AD9" w:rsidRPr="00FD1322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15DAF" w:rsidRPr="00FD1322">
        <w:rPr>
          <w:rFonts w:ascii="Times New Roman" w:eastAsiaTheme="minorHAnsi" w:hAnsi="Times New Roman"/>
          <w:sz w:val="28"/>
          <w:szCs w:val="28"/>
          <w:lang w:eastAsia="en-US"/>
        </w:rPr>
        <w:t>изложить в следующей редакции:</w:t>
      </w:r>
    </w:p>
    <w:p w:rsidR="000F6368" w:rsidRPr="00FD1322" w:rsidRDefault="00F15DAF" w:rsidP="00F15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1322">
        <w:rPr>
          <w:rFonts w:ascii="Times New Roman" w:eastAsiaTheme="minorHAnsi" w:hAnsi="Times New Roman"/>
          <w:sz w:val="28"/>
          <w:szCs w:val="28"/>
          <w:lang w:eastAsia="en-US"/>
        </w:rPr>
        <w:t xml:space="preserve">«Материально-техническое обеспечение проведения публичного мероприятия осуществляется его организатором и участниками в соответствии с требованиями статьи 11 Федерального закона.». </w:t>
      </w:r>
    </w:p>
    <w:p w:rsidR="00F15DAF" w:rsidRPr="00FD1322" w:rsidRDefault="00F15DAF" w:rsidP="00F15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80AD3" w:rsidRPr="00FD1322" w:rsidRDefault="00F80AD3" w:rsidP="00F80AD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1322">
        <w:rPr>
          <w:rFonts w:ascii="Times New Roman" w:hAnsi="Times New Roman"/>
          <w:b/>
          <w:color w:val="000000"/>
          <w:sz w:val="28"/>
          <w:szCs w:val="28"/>
        </w:rPr>
        <w:t>Статья 2</w:t>
      </w:r>
    </w:p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322">
        <w:rPr>
          <w:rFonts w:ascii="Times New Roman" w:hAnsi="Times New Roman"/>
          <w:sz w:val="28"/>
          <w:szCs w:val="28"/>
        </w:rPr>
        <w:t>1. Настоящий Закон вступает в силу со дня его официального опубликования.</w:t>
      </w:r>
    </w:p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D1322">
        <w:rPr>
          <w:rFonts w:ascii="Times New Roman" w:hAnsi="Times New Roman"/>
          <w:sz w:val="28"/>
          <w:szCs w:val="28"/>
        </w:rPr>
        <w:t>2. Со дня вступления в силу настоящего Закона признать утратившими силу абзацы восемь, девять, десять, одиннадцать, тринадцать пункта 3 статьи 1 закона Алтайского края от 5 декабря 2012 года № 92-ЗС «О внесении изменений в закон Алтайского края «О порядке проведения собраний, митингов, демонстраций, шествий и пикетирований на территории Алтайского края» (Сборник законодательства Алтайского края, 2012, № 200, часть I).</w:t>
      </w:r>
    </w:p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F80AD3" w:rsidRPr="00FD1322" w:rsidRDefault="00F80AD3" w:rsidP="00F80A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FD1322">
        <w:rPr>
          <w:rFonts w:ascii="Times New Roman" w:hAnsi="Times New Roman"/>
          <w:color w:val="000000"/>
          <w:sz w:val="28"/>
          <w:szCs w:val="28"/>
        </w:rPr>
        <w:t xml:space="preserve">Губернатор Алтайского края                                                               </w:t>
      </w:r>
      <w:r w:rsidR="00592BCA" w:rsidRPr="00FD1322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FD1322">
        <w:rPr>
          <w:rFonts w:ascii="Times New Roman" w:hAnsi="Times New Roman"/>
          <w:color w:val="000000"/>
          <w:sz w:val="28"/>
          <w:szCs w:val="28"/>
        </w:rPr>
        <w:t>В.П. Томенко</w:t>
      </w:r>
    </w:p>
    <w:p w:rsidR="00A76531" w:rsidRPr="00FD1322" w:rsidRDefault="00A76531">
      <w:pPr>
        <w:rPr>
          <w:rFonts w:ascii="Times New Roman" w:hAnsi="Times New Roman"/>
          <w:sz w:val="28"/>
          <w:szCs w:val="28"/>
        </w:rPr>
      </w:pPr>
    </w:p>
    <w:p w:rsidR="00592BCA" w:rsidRPr="00FD1322" w:rsidRDefault="00592BCA">
      <w:pPr>
        <w:rPr>
          <w:rFonts w:ascii="Times New Roman" w:hAnsi="Times New Roman"/>
          <w:sz w:val="28"/>
          <w:szCs w:val="28"/>
        </w:rPr>
      </w:pPr>
    </w:p>
    <w:sectPr w:rsidR="00592BCA" w:rsidRPr="00FD1322" w:rsidSect="00624DDE">
      <w:headerReference w:type="default" r:id="rId7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3F9" w:rsidRDefault="001C63F9">
      <w:pPr>
        <w:spacing w:after="0" w:line="240" w:lineRule="auto"/>
      </w:pPr>
      <w:r>
        <w:separator/>
      </w:r>
    </w:p>
  </w:endnote>
  <w:endnote w:type="continuationSeparator" w:id="0">
    <w:p w:rsidR="001C63F9" w:rsidRDefault="001C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3F9" w:rsidRDefault="001C63F9">
      <w:pPr>
        <w:spacing w:after="0" w:line="240" w:lineRule="auto"/>
      </w:pPr>
      <w:r>
        <w:separator/>
      </w:r>
    </w:p>
  </w:footnote>
  <w:footnote w:type="continuationSeparator" w:id="0">
    <w:p w:rsidR="001C63F9" w:rsidRDefault="001C6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3A" w:rsidRPr="00F03C3A" w:rsidRDefault="001C63F9">
    <w:pPr>
      <w:pStyle w:val="a3"/>
      <w:jc w:val="right"/>
      <w:rPr>
        <w:sz w:val="4"/>
        <w:szCs w:val="4"/>
      </w:rPr>
    </w:pPr>
  </w:p>
  <w:p w:rsidR="00F03C3A" w:rsidRPr="00D007EE" w:rsidRDefault="000F6368">
    <w:pPr>
      <w:pStyle w:val="a3"/>
      <w:jc w:val="right"/>
      <w:rPr>
        <w:rFonts w:ascii="Times New Roman" w:hAnsi="Times New Roman"/>
        <w:sz w:val="28"/>
        <w:szCs w:val="28"/>
      </w:rPr>
    </w:pPr>
    <w:r w:rsidRPr="00D007EE">
      <w:rPr>
        <w:rFonts w:ascii="Times New Roman" w:hAnsi="Times New Roman"/>
        <w:sz w:val="28"/>
        <w:szCs w:val="28"/>
      </w:rPr>
      <w:fldChar w:fldCharType="begin"/>
    </w:r>
    <w:r w:rsidRPr="00D007EE">
      <w:rPr>
        <w:rFonts w:ascii="Times New Roman" w:hAnsi="Times New Roman"/>
        <w:sz w:val="28"/>
        <w:szCs w:val="28"/>
      </w:rPr>
      <w:instrText>PAGE   \* MERGEFORMAT</w:instrText>
    </w:r>
    <w:r w:rsidRPr="00D007EE">
      <w:rPr>
        <w:rFonts w:ascii="Times New Roman" w:hAnsi="Times New Roman"/>
        <w:sz w:val="28"/>
        <w:szCs w:val="28"/>
      </w:rPr>
      <w:fldChar w:fldCharType="separate"/>
    </w:r>
    <w:r w:rsidR="00FD1322">
      <w:rPr>
        <w:rFonts w:ascii="Times New Roman" w:hAnsi="Times New Roman"/>
        <w:noProof/>
        <w:sz w:val="28"/>
        <w:szCs w:val="28"/>
      </w:rPr>
      <w:t>4</w:t>
    </w:r>
    <w:r w:rsidRPr="00D007E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02DB0"/>
    <w:multiLevelType w:val="hybridMultilevel"/>
    <w:tmpl w:val="C4743082"/>
    <w:lvl w:ilvl="0" w:tplc="850C8C9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D3"/>
    <w:rsid w:val="00036763"/>
    <w:rsid w:val="000F291B"/>
    <w:rsid w:val="000F6368"/>
    <w:rsid w:val="00127F7A"/>
    <w:rsid w:val="00162BE2"/>
    <w:rsid w:val="0017468C"/>
    <w:rsid w:val="001C63F9"/>
    <w:rsid w:val="0035722E"/>
    <w:rsid w:val="00381AD9"/>
    <w:rsid w:val="003C1F63"/>
    <w:rsid w:val="004524A5"/>
    <w:rsid w:val="005201D6"/>
    <w:rsid w:val="00545A4D"/>
    <w:rsid w:val="00591A5A"/>
    <w:rsid w:val="00592BCA"/>
    <w:rsid w:val="00597B52"/>
    <w:rsid w:val="005D1212"/>
    <w:rsid w:val="006A6923"/>
    <w:rsid w:val="006B6AD5"/>
    <w:rsid w:val="006D5E1D"/>
    <w:rsid w:val="006F700F"/>
    <w:rsid w:val="007241B5"/>
    <w:rsid w:val="007B041B"/>
    <w:rsid w:val="007F22A5"/>
    <w:rsid w:val="0088658E"/>
    <w:rsid w:val="008A6EF9"/>
    <w:rsid w:val="00922F86"/>
    <w:rsid w:val="00974F9C"/>
    <w:rsid w:val="009A5F04"/>
    <w:rsid w:val="00A01C63"/>
    <w:rsid w:val="00A355E8"/>
    <w:rsid w:val="00A361B1"/>
    <w:rsid w:val="00A54BEB"/>
    <w:rsid w:val="00A76531"/>
    <w:rsid w:val="00C90799"/>
    <w:rsid w:val="00CE268B"/>
    <w:rsid w:val="00CE7616"/>
    <w:rsid w:val="00D33A72"/>
    <w:rsid w:val="00DA41AD"/>
    <w:rsid w:val="00DF2EE1"/>
    <w:rsid w:val="00E6778C"/>
    <w:rsid w:val="00EA693F"/>
    <w:rsid w:val="00EC37D8"/>
    <w:rsid w:val="00F15DAF"/>
    <w:rsid w:val="00F203CF"/>
    <w:rsid w:val="00F3098D"/>
    <w:rsid w:val="00F445B4"/>
    <w:rsid w:val="00F80AD3"/>
    <w:rsid w:val="00F92C3C"/>
    <w:rsid w:val="00F93D40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7F62D-F627-4596-96E1-DFA8EEF9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68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A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F80A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0AD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B6A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2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24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44</cp:revision>
  <cp:lastPrinted>2021-01-15T07:17:00Z</cp:lastPrinted>
  <dcterms:created xsi:type="dcterms:W3CDTF">2021-01-11T08:10:00Z</dcterms:created>
  <dcterms:modified xsi:type="dcterms:W3CDTF">2021-01-15T08:58:00Z</dcterms:modified>
</cp:coreProperties>
</file>